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59E6" w14:textId="62FE1135" w:rsidR="005F091F" w:rsidRPr="005F091F" w:rsidRDefault="005F091F">
      <w:pPr>
        <w:rPr>
          <w:b/>
          <w:bCs/>
          <w:sz w:val="32"/>
          <w:szCs w:val="32"/>
        </w:rPr>
      </w:pPr>
      <w:r w:rsidRPr="005F091F">
        <w:rPr>
          <w:b/>
          <w:bCs/>
          <w:sz w:val="32"/>
          <w:szCs w:val="32"/>
        </w:rPr>
        <w:t xml:space="preserve">Workshop reporting </w:t>
      </w:r>
    </w:p>
    <w:p w14:paraId="539AA8D7" w14:textId="268029B2" w:rsidR="00114BBE" w:rsidRPr="00340210" w:rsidRDefault="00340210">
      <w:pPr>
        <w:rPr>
          <w:b/>
          <w:bCs/>
          <w:sz w:val="28"/>
          <w:szCs w:val="28"/>
        </w:rPr>
      </w:pPr>
      <w:r w:rsidRPr="00340210">
        <w:rPr>
          <w:b/>
          <w:bCs/>
          <w:sz w:val="28"/>
          <w:szCs w:val="28"/>
        </w:rPr>
        <w:t>1</w:t>
      </w:r>
      <w:r w:rsidRPr="00340210">
        <w:rPr>
          <w:b/>
          <w:bCs/>
          <w:sz w:val="28"/>
          <w:szCs w:val="28"/>
          <w:vertAlign w:val="superscript"/>
        </w:rPr>
        <w:t>st</w:t>
      </w:r>
      <w:r w:rsidRPr="00340210">
        <w:rPr>
          <w:b/>
          <w:bCs/>
          <w:sz w:val="28"/>
          <w:szCs w:val="28"/>
        </w:rPr>
        <w:t xml:space="preserve"> Australia and New Zealand Water Quality Modelling Symposium</w:t>
      </w:r>
    </w:p>
    <w:p w14:paraId="68DBB964" w14:textId="798EAAC6" w:rsidR="00340210" w:rsidRDefault="00370EE0">
      <w:r>
        <w:t>7-10 April 2024,</w:t>
      </w:r>
      <w:r w:rsidRPr="00370EE0">
        <w:t xml:space="preserve"> </w:t>
      </w:r>
      <w:r>
        <w:t>Queenstown, NZ.</w:t>
      </w:r>
    </w:p>
    <w:p w14:paraId="1023920E" w14:textId="77777777" w:rsidR="00B001D8" w:rsidRDefault="00B001D8" w:rsidP="00265B78">
      <w:pPr>
        <w:rPr>
          <w:b/>
          <w:bCs/>
        </w:rPr>
      </w:pPr>
    </w:p>
    <w:p w14:paraId="5A251E8A" w14:textId="44AACDDC" w:rsidR="00BD23D9" w:rsidRDefault="00BD23D9" w:rsidP="00265B78">
      <w:r w:rsidRPr="00397B77">
        <w:rPr>
          <w:b/>
          <w:bCs/>
        </w:rPr>
        <w:t>Work</w:t>
      </w:r>
      <w:r w:rsidR="005F091F">
        <w:rPr>
          <w:b/>
          <w:bCs/>
        </w:rPr>
        <w:t>shop</w:t>
      </w:r>
      <w:r w:rsidRPr="00397B77">
        <w:rPr>
          <w:b/>
          <w:bCs/>
        </w:rPr>
        <w:t xml:space="preserve"> </w:t>
      </w:r>
      <w:r w:rsidR="005F091F">
        <w:rPr>
          <w:b/>
          <w:bCs/>
        </w:rPr>
        <w:t>Topic</w:t>
      </w:r>
      <w:r w:rsidR="00CE3D2D">
        <w:t xml:space="preserve"> </w:t>
      </w:r>
      <w:r w:rsidR="00265B78">
        <w:t>–</w:t>
      </w:r>
      <w:r w:rsidR="005E420C">
        <w:t xml:space="preserve">2.1 </w:t>
      </w:r>
      <w:r w:rsidR="00265B78">
        <w:t>Developing good-practice modelling guidelines</w:t>
      </w:r>
      <w:r w:rsidR="005E420C">
        <w:t>.</w:t>
      </w:r>
      <w:r w:rsidR="00A43306">
        <w:rPr>
          <w:rStyle w:val="FootnoteReference"/>
        </w:rPr>
        <w:footnoteReference w:id="1"/>
      </w:r>
      <w:r w:rsidR="00265B78">
        <w:t xml:space="preserve"> </w:t>
      </w:r>
    </w:p>
    <w:p w14:paraId="0FFFB405" w14:textId="77777777" w:rsidR="00ED7139" w:rsidRDefault="00ED7139" w:rsidP="00ED7139">
      <w:pPr>
        <w:rPr>
          <w:i/>
          <w:iCs/>
        </w:rPr>
      </w:pPr>
      <w:r>
        <w:rPr>
          <w:b/>
          <w:bCs/>
        </w:rPr>
        <w:t xml:space="preserve">[1] </w:t>
      </w:r>
      <w:r w:rsidRPr="009B0D6A">
        <w:rPr>
          <w:b/>
          <w:bCs/>
        </w:rPr>
        <w:t>Vision</w:t>
      </w:r>
      <w:r w:rsidRPr="00C15B65">
        <w:t xml:space="preserve"> </w:t>
      </w:r>
      <w:r w:rsidRPr="00C15B65">
        <w:rPr>
          <w:i/>
          <w:iCs/>
        </w:rPr>
        <w:t>What does success look like?</w:t>
      </w:r>
      <w:r>
        <w:rPr>
          <w:i/>
          <w:iCs/>
        </w:rPr>
        <w:t xml:space="preserve">  What are the outcomes?</w:t>
      </w:r>
    </w:p>
    <w:p w14:paraId="49F668F4" w14:textId="6910D927" w:rsidR="005A6D31" w:rsidRDefault="00E659E7" w:rsidP="00ED7139">
      <w:r>
        <w:t xml:space="preserve">A set of guidelines, supported by tools </w:t>
      </w:r>
      <w:r w:rsidR="00180C67">
        <w:t xml:space="preserve">that promote their usage, that become the </w:t>
      </w:r>
      <w:r w:rsidR="00207CE6">
        <w:t>industry standard</w:t>
      </w:r>
      <w:r w:rsidR="00180C67">
        <w:t xml:space="preserve"> for water quality modelling</w:t>
      </w:r>
      <w:r w:rsidR="005C74F4">
        <w:t xml:space="preserve"> expected to be adhered to</w:t>
      </w:r>
      <w:r w:rsidR="00180C67">
        <w:t xml:space="preserve"> by both modellers and model consumers / decision makers.</w:t>
      </w:r>
    </w:p>
    <w:p w14:paraId="6243924D" w14:textId="4F58AA04" w:rsidR="00F26717" w:rsidRDefault="00F26717" w:rsidP="00ED7139">
      <w:r>
        <w:t>These guidelines will:</w:t>
      </w:r>
    </w:p>
    <w:p w14:paraId="699075D3" w14:textId="5952EF28" w:rsidR="00207CE6" w:rsidRDefault="00207CE6" w:rsidP="00F26717">
      <w:pPr>
        <w:pStyle w:val="ListParagraph"/>
        <w:numPr>
          <w:ilvl w:val="0"/>
          <w:numId w:val="11"/>
        </w:numPr>
      </w:pPr>
      <w:r>
        <w:t>Establish industry standards</w:t>
      </w:r>
    </w:p>
    <w:p w14:paraId="09E0E53E" w14:textId="64B0B158" w:rsidR="00F26717" w:rsidRDefault="00F26717" w:rsidP="00F26717">
      <w:pPr>
        <w:pStyle w:val="ListParagraph"/>
        <w:numPr>
          <w:ilvl w:val="0"/>
          <w:numId w:val="11"/>
        </w:numPr>
      </w:pPr>
      <w:r w:rsidRPr="00F26717">
        <w:t>Promote modelling as a science</w:t>
      </w:r>
    </w:p>
    <w:p w14:paraId="41AC3E8B" w14:textId="2E751773" w:rsidR="00F26717" w:rsidRDefault="00F26717" w:rsidP="00F26717">
      <w:pPr>
        <w:pStyle w:val="ListParagraph"/>
        <w:numPr>
          <w:ilvl w:val="0"/>
          <w:numId w:val="11"/>
        </w:numPr>
      </w:pPr>
      <w:r>
        <w:t>Lift levels of trust and transparency</w:t>
      </w:r>
    </w:p>
    <w:p w14:paraId="675C0C70" w14:textId="6B615E5F" w:rsidR="00E7601D" w:rsidRDefault="00E7601D" w:rsidP="00F26717">
      <w:pPr>
        <w:pStyle w:val="ListParagraph"/>
        <w:numPr>
          <w:ilvl w:val="0"/>
          <w:numId w:val="11"/>
        </w:numPr>
      </w:pPr>
      <w:r>
        <w:t xml:space="preserve">Guide modelling practice, and provide </w:t>
      </w:r>
      <w:r w:rsidR="00FF2F4F">
        <w:t>a framework for modelling decisions</w:t>
      </w:r>
    </w:p>
    <w:p w14:paraId="7FD83D8D" w14:textId="6D40D2FA" w:rsidR="00F26717" w:rsidRDefault="00596A89" w:rsidP="00F26717">
      <w:pPr>
        <w:pStyle w:val="ListParagraph"/>
        <w:numPr>
          <w:ilvl w:val="0"/>
          <w:numId w:val="11"/>
        </w:numPr>
      </w:pPr>
      <w:r>
        <w:t>Provide a commonality of expectations</w:t>
      </w:r>
    </w:p>
    <w:p w14:paraId="47BA3A6E" w14:textId="7DDCF0DF" w:rsidR="00596A89" w:rsidRDefault="00596A89" w:rsidP="00F26717">
      <w:pPr>
        <w:pStyle w:val="ListParagraph"/>
        <w:numPr>
          <w:ilvl w:val="0"/>
          <w:numId w:val="11"/>
        </w:numPr>
      </w:pPr>
      <w:r>
        <w:t>Provide a framework to communicate modelling practice decisions, including saying “no” to a client</w:t>
      </w:r>
    </w:p>
    <w:p w14:paraId="5D5FCB74" w14:textId="0E71B70F" w:rsidR="00913371" w:rsidRDefault="00913371" w:rsidP="00F26717">
      <w:pPr>
        <w:pStyle w:val="ListParagraph"/>
        <w:numPr>
          <w:ilvl w:val="0"/>
          <w:numId w:val="11"/>
        </w:numPr>
      </w:pPr>
      <w:r>
        <w:t>Promote and support consistency in external communications</w:t>
      </w:r>
    </w:p>
    <w:p w14:paraId="48347150" w14:textId="5E345CD5" w:rsidR="00E7601D" w:rsidRDefault="00E7601D" w:rsidP="00F26717">
      <w:pPr>
        <w:pStyle w:val="ListParagraph"/>
        <w:numPr>
          <w:ilvl w:val="0"/>
          <w:numId w:val="11"/>
        </w:numPr>
      </w:pPr>
      <w:r>
        <w:t>Provide guidance and training to new modellers</w:t>
      </w:r>
    </w:p>
    <w:p w14:paraId="6FF2DF36" w14:textId="1E54D3AE" w:rsidR="009A1B7C" w:rsidRDefault="009A1B7C" w:rsidP="00F26717">
      <w:pPr>
        <w:pStyle w:val="ListParagraph"/>
        <w:numPr>
          <w:ilvl w:val="0"/>
          <w:numId w:val="11"/>
        </w:numPr>
      </w:pPr>
      <w:r>
        <w:t>Avoid bad practices and their associated costs.</w:t>
      </w:r>
    </w:p>
    <w:p w14:paraId="157F0D7A" w14:textId="6DE859D0" w:rsidR="00270DD7" w:rsidRPr="00F26717" w:rsidRDefault="00270DD7" w:rsidP="00F26717">
      <w:pPr>
        <w:pStyle w:val="ListParagraph"/>
        <w:numPr>
          <w:ilvl w:val="0"/>
          <w:numId w:val="11"/>
        </w:numPr>
      </w:pPr>
      <w:r>
        <w:t>Support the tendering and project management processes for consumers / decision makers</w:t>
      </w:r>
    </w:p>
    <w:p w14:paraId="685C0FDD" w14:textId="39416B74" w:rsidR="00ED7139" w:rsidRDefault="000F0684" w:rsidP="00ED7139">
      <w:r>
        <w:t xml:space="preserve">The guidelines will be a product that uses multiple formats to achieve these goals, and include tools to support their practical application.  </w:t>
      </w:r>
    </w:p>
    <w:p w14:paraId="2ED986D9" w14:textId="77777777" w:rsidR="00ED7139" w:rsidRPr="005D0037" w:rsidRDefault="00ED7139" w:rsidP="00ED7139">
      <w:pPr>
        <w:rPr>
          <w:i/>
          <w:iCs/>
        </w:rPr>
      </w:pPr>
      <w:r>
        <w:rPr>
          <w:b/>
          <w:bCs/>
        </w:rPr>
        <w:t xml:space="preserve">[2] </w:t>
      </w:r>
      <w:r w:rsidRPr="00B22463">
        <w:rPr>
          <w:b/>
          <w:bCs/>
        </w:rPr>
        <w:t>Scope and Issues</w:t>
      </w:r>
      <w:r>
        <w:t xml:space="preserve"> </w:t>
      </w:r>
      <w:r>
        <w:rPr>
          <w:i/>
          <w:iCs/>
        </w:rPr>
        <w:t>Discuss and capture the boundaries and known barriers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268"/>
        <w:gridCol w:w="2356"/>
        <w:gridCol w:w="1958"/>
      </w:tblGrid>
      <w:tr w:rsidR="00ED7139" w14:paraId="7ADC5502" w14:textId="77777777" w:rsidTr="00A411F9"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6A170C72" w14:textId="77777777" w:rsidR="00ED7139" w:rsidRDefault="00ED7139" w:rsidP="00A411F9">
            <w:r>
              <w:t>Modellers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45548C" w14:textId="77777777" w:rsidR="00ED7139" w:rsidRPr="008C0868" w:rsidRDefault="00ED7139" w:rsidP="00A411F9">
            <w:pPr>
              <w:rPr>
                <w:color w:val="FF0000"/>
              </w:rPr>
            </w:pPr>
            <w:r w:rsidRPr="008C0868">
              <w:rPr>
                <w:color w:val="FF0000"/>
              </w:rPr>
              <w:t>Barriers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14:paraId="2BC93E40" w14:textId="77777777" w:rsidR="00ED7139" w:rsidRDefault="00ED7139" w:rsidP="00A411F9">
            <w:r>
              <w:t>Consumers / Decision makers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14:paraId="6265EA59" w14:textId="77777777" w:rsidR="00ED7139" w:rsidRPr="00F75C5C" w:rsidRDefault="00ED7139" w:rsidP="00A411F9">
            <w:pPr>
              <w:rPr>
                <w:color w:val="FF0000"/>
              </w:rPr>
            </w:pPr>
            <w:r w:rsidRPr="00F75C5C">
              <w:rPr>
                <w:color w:val="FF0000"/>
              </w:rPr>
              <w:t>Barriers</w:t>
            </w:r>
          </w:p>
        </w:tc>
      </w:tr>
      <w:tr w:rsidR="00ED7139" w14:paraId="37D64241" w14:textId="77777777" w:rsidTr="00A411F9">
        <w:tc>
          <w:tcPr>
            <w:tcW w:w="2444" w:type="dxa"/>
            <w:tcBorders>
              <w:top w:val="single" w:sz="4" w:space="0" w:color="auto"/>
            </w:tcBorders>
          </w:tcPr>
          <w:p w14:paraId="71B63784" w14:textId="77777777" w:rsidR="00ED7139" w:rsidRDefault="00ED7139" w:rsidP="00A411F9">
            <w:r>
              <w:t>Model developers / designers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67CC4A7" w14:textId="77777777" w:rsidR="00ED7139" w:rsidRPr="008C0868" w:rsidRDefault="00ED7139" w:rsidP="00A411F9">
            <w:pPr>
              <w:rPr>
                <w:color w:val="FF0000"/>
              </w:rPr>
            </w:pPr>
            <w:r w:rsidRPr="008C0868">
              <w:rPr>
                <w:color w:val="FF0000"/>
              </w:rPr>
              <w:t>Diversity of views</w:t>
            </w:r>
          </w:p>
          <w:p w14:paraId="2B9124B1" w14:textId="77777777" w:rsidR="00ED7139" w:rsidRPr="008C0868" w:rsidRDefault="00ED7139" w:rsidP="00A411F9">
            <w:pPr>
              <w:rPr>
                <w:color w:val="FF0000"/>
              </w:rPr>
            </w:pPr>
            <w:r w:rsidRPr="008C0868">
              <w:rPr>
                <w:color w:val="FF0000"/>
              </w:rPr>
              <w:t>Resistant to change -&gt; do we need more rules?</w:t>
            </w:r>
          </w:p>
          <w:p w14:paraId="7A397509" w14:textId="77777777" w:rsidR="00ED7139" w:rsidRDefault="00ED7139" w:rsidP="00A411F9">
            <w:pPr>
              <w:rPr>
                <w:color w:val="FF0000"/>
              </w:rPr>
            </w:pPr>
            <w:r w:rsidRPr="008C0868">
              <w:rPr>
                <w:color w:val="FF0000"/>
              </w:rPr>
              <w:t>Lack communication</w:t>
            </w:r>
          </w:p>
          <w:p w14:paraId="094BD934" w14:textId="77777777" w:rsidR="00ED7139" w:rsidRDefault="00ED7139" w:rsidP="00A411F9">
            <w:pPr>
              <w:rPr>
                <w:color w:val="FF0000"/>
              </w:rPr>
            </w:pPr>
            <w:r>
              <w:rPr>
                <w:color w:val="FF0000"/>
              </w:rPr>
              <w:t xml:space="preserve">WQM lots of purposes </w:t>
            </w:r>
          </w:p>
          <w:p w14:paraId="3DD847D4" w14:textId="77777777" w:rsidR="00ED7139" w:rsidRDefault="00ED7139" w:rsidP="00A411F9">
            <w:pPr>
              <w:rPr>
                <w:color w:val="FF0000"/>
              </w:rPr>
            </w:pPr>
            <w:r>
              <w:rPr>
                <w:color w:val="FF0000"/>
              </w:rPr>
              <w:t xml:space="preserve">-&gt; hard to be specific </w:t>
            </w:r>
          </w:p>
          <w:p w14:paraId="2D4862BD" w14:textId="77777777" w:rsidR="00ED7139" w:rsidRDefault="00ED7139" w:rsidP="00A411F9">
            <w:pPr>
              <w:rPr>
                <w:color w:val="FF0000"/>
              </w:rPr>
            </w:pPr>
            <w:r>
              <w:rPr>
                <w:color w:val="FF0000"/>
              </w:rPr>
              <w:t>-&gt; stuck at parental statements</w:t>
            </w:r>
          </w:p>
          <w:p w14:paraId="4D00B484" w14:textId="77777777" w:rsidR="00ED7139" w:rsidRDefault="00ED7139" w:rsidP="00A411F9">
            <w:pPr>
              <w:rPr>
                <w:color w:val="FF0000"/>
              </w:rPr>
            </w:pPr>
            <w:r>
              <w:rPr>
                <w:color w:val="FF0000"/>
              </w:rPr>
              <w:t xml:space="preserve">Different world views </w:t>
            </w:r>
          </w:p>
          <w:p w14:paraId="2F1A0D36" w14:textId="77777777" w:rsidR="00ED7139" w:rsidRDefault="00ED7139" w:rsidP="00A411F9">
            <w:pPr>
              <w:rPr>
                <w:color w:val="FF0000"/>
              </w:rPr>
            </w:pPr>
            <w:r>
              <w:rPr>
                <w:color w:val="FF0000"/>
              </w:rPr>
              <w:t xml:space="preserve">-&gt; language </w:t>
            </w:r>
          </w:p>
          <w:p w14:paraId="1579A19E" w14:textId="77777777" w:rsidR="00ED7139" w:rsidRDefault="00ED7139" w:rsidP="00A411F9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-&gt; approaches </w:t>
            </w:r>
          </w:p>
          <w:p w14:paraId="7639EB6F" w14:textId="77777777" w:rsidR="00ED7139" w:rsidRPr="00F75C5C" w:rsidRDefault="00ED7139" w:rsidP="00A411F9">
            <w:pPr>
              <w:rPr>
                <w:color w:val="FF0000"/>
              </w:rPr>
            </w:pPr>
            <w:r>
              <w:rPr>
                <w:color w:val="FF0000"/>
              </w:rPr>
              <w:t>-&gt; needs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14:paraId="2709F4A4" w14:textId="77777777" w:rsidR="00ED7139" w:rsidRDefault="00ED7139" w:rsidP="00A411F9">
            <w:r>
              <w:lastRenderedPageBreak/>
              <w:t>New to the application area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14:paraId="43FB0009" w14:textId="77777777" w:rsidR="00ED7139" w:rsidRDefault="00ED7139" w:rsidP="00A411F9">
            <w:pPr>
              <w:rPr>
                <w:color w:val="FF0000"/>
              </w:rPr>
            </w:pPr>
            <w:r>
              <w:rPr>
                <w:color w:val="FF0000"/>
              </w:rPr>
              <w:t>High diversity of understanding and preconceptions and bias on WQM (WQ also) / quantitative</w:t>
            </w:r>
          </w:p>
          <w:p w14:paraId="0F3D258D" w14:textId="77777777" w:rsidR="00ED7139" w:rsidRPr="00F75C5C" w:rsidRDefault="00ED7139" w:rsidP="00A411F9">
            <w:pPr>
              <w:rPr>
                <w:color w:val="FF0000"/>
              </w:rPr>
            </w:pPr>
            <w:r>
              <w:rPr>
                <w:color w:val="FF0000"/>
              </w:rPr>
              <w:t xml:space="preserve">Uninformed purchasers asking for wrong thing -&gt; take model outside of the original </w:t>
            </w:r>
            <w:r>
              <w:rPr>
                <w:color w:val="FF0000"/>
              </w:rPr>
              <w:lastRenderedPageBreak/>
              <w:t xml:space="preserve">scope / outside model’s “fit for purpose” </w:t>
            </w:r>
            <w:r w:rsidRPr="00F75C5C">
              <w:rPr>
                <w:color w:val="4472C4" w:themeColor="accent1"/>
              </w:rPr>
              <w:t>(our guidelines should help with this!)</w:t>
            </w:r>
          </w:p>
        </w:tc>
      </w:tr>
      <w:tr w:rsidR="00ED7139" w14:paraId="3A33EA06" w14:textId="77777777" w:rsidTr="00A411F9">
        <w:tc>
          <w:tcPr>
            <w:tcW w:w="2444" w:type="dxa"/>
          </w:tcPr>
          <w:p w14:paraId="31B87BA6" w14:textId="77777777" w:rsidR="00ED7139" w:rsidRDefault="00ED7139" w:rsidP="00A411F9">
            <w:r>
              <w:lastRenderedPageBreak/>
              <w:t>Practitioners / application</w:t>
            </w:r>
          </w:p>
        </w:tc>
        <w:tc>
          <w:tcPr>
            <w:tcW w:w="2268" w:type="dxa"/>
          </w:tcPr>
          <w:p w14:paraId="0D6C6673" w14:textId="77777777" w:rsidR="00ED7139" w:rsidRPr="008C0868" w:rsidRDefault="00ED7139" w:rsidP="00A411F9">
            <w:pPr>
              <w:rPr>
                <w:color w:val="FF0000"/>
              </w:rPr>
            </w:pPr>
          </w:p>
        </w:tc>
        <w:tc>
          <w:tcPr>
            <w:tcW w:w="2356" w:type="dxa"/>
          </w:tcPr>
          <w:p w14:paraId="12A306C6" w14:textId="77777777" w:rsidR="00ED7139" w:rsidRDefault="00ED7139" w:rsidP="00A411F9"/>
        </w:tc>
        <w:tc>
          <w:tcPr>
            <w:tcW w:w="1958" w:type="dxa"/>
          </w:tcPr>
          <w:p w14:paraId="134787DD" w14:textId="77777777" w:rsidR="00ED7139" w:rsidRPr="00F75C5C" w:rsidRDefault="00ED7139" w:rsidP="00A411F9">
            <w:pPr>
              <w:rPr>
                <w:color w:val="FF0000"/>
              </w:rPr>
            </w:pPr>
          </w:p>
        </w:tc>
      </w:tr>
      <w:tr w:rsidR="00ED7139" w14:paraId="73BCCBF8" w14:textId="77777777" w:rsidTr="00A411F9">
        <w:tc>
          <w:tcPr>
            <w:tcW w:w="2444" w:type="dxa"/>
          </w:tcPr>
          <w:p w14:paraId="74A5BF9E" w14:textId="77777777" w:rsidR="00ED7139" w:rsidRDefault="00ED7139" w:rsidP="00A411F9">
            <w:r>
              <w:t>Software developers</w:t>
            </w:r>
          </w:p>
        </w:tc>
        <w:tc>
          <w:tcPr>
            <w:tcW w:w="2268" w:type="dxa"/>
          </w:tcPr>
          <w:p w14:paraId="15B50FA1" w14:textId="77777777" w:rsidR="00ED7139" w:rsidRPr="008C0868" w:rsidRDefault="00ED7139" w:rsidP="00A411F9">
            <w:pPr>
              <w:rPr>
                <w:color w:val="FF0000"/>
              </w:rPr>
            </w:pPr>
            <w:r>
              <w:rPr>
                <w:color w:val="FF0000"/>
              </w:rPr>
              <w:t>Own standards to meet</w:t>
            </w:r>
          </w:p>
        </w:tc>
        <w:tc>
          <w:tcPr>
            <w:tcW w:w="2356" w:type="dxa"/>
          </w:tcPr>
          <w:p w14:paraId="5E25574C" w14:textId="77777777" w:rsidR="00ED7139" w:rsidRDefault="00ED7139" w:rsidP="00A411F9"/>
        </w:tc>
        <w:tc>
          <w:tcPr>
            <w:tcW w:w="1958" w:type="dxa"/>
          </w:tcPr>
          <w:p w14:paraId="5992E735" w14:textId="77777777" w:rsidR="00ED7139" w:rsidRPr="00F75C5C" w:rsidRDefault="00ED7139" w:rsidP="00A411F9">
            <w:pPr>
              <w:rPr>
                <w:color w:val="FF0000"/>
              </w:rPr>
            </w:pPr>
          </w:p>
        </w:tc>
      </w:tr>
      <w:tr w:rsidR="00ED7139" w14:paraId="09BE79FC" w14:textId="77777777" w:rsidTr="00A411F9">
        <w:tc>
          <w:tcPr>
            <w:tcW w:w="2444" w:type="dxa"/>
          </w:tcPr>
          <w:p w14:paraId="2CE9E2A1" w14:textId="77777777" w:rsidR="00ED7139" w:rsidRDefault="00ED7139" w:rsidP="00A411F9">
            <w:r>
              <w:t>Emerging / new / early career</w:t>
            </w:r>
          </w:p>
        </w:tc>
        <w:tc>
          <w:tcPr>
            <w:tcW w:w="2268" w:type="dxa"/>
          </w:tcPr>
          <w:p w14:paraId="23A805CB" w14:textId="77777777" w:rsidR="00ED7139" w:rsidRPr="008C0868" w:rsidRDefault="00ED7139" w:rsidP="00A411F9">
            <w:pPr>
              <w:rPr>
                <w:color w:val="FF0000"/>
              </w:rPr>
            </w:pPr>
            <w:r w:rsidRPr="008C0868">
              <w:rPr>
                <w:color w:val="FF0000"/>
              </w:rPr>
              <w:t>Competing priorities &amp; existing resources</w:t>
            </w:r>
            <w:r>
              <w:rPr>
                <w:color w:val="FF0000"/>
              </w:rPr>
              <w:t xml:space="preserve"> (time &amp; $)</w:t>
            </w:r>
          </w:p>
        </w:tc>
        <w:tc>
          <w:tcPr>
            <w:tcW w:w="2356" w:type="dxa"/>
          </w:tcPr>
          <w:p w14:paraId="7FF30546" w14:textId="77777777" w:rsidR="00ED7139" w:rsidRDefault="00ED7139" w:rsidP="00A411F9">
            <w:r>
              <w:t>Emerging / new / early career</w:t>
            </w:r>
          </w:p>
        </w:tc>
        <w:tc>
          <w:tcPr>
            <w:tcW w:w="1958" w:type="dxa"/>
          </w:tcPr>
          <w:p w14:paraId="291E480A" w14:textId="77777777" w:rsidR="00ED7139" w:rsidRPr="00F75C5C" w:rsidRDefault="00ED7139" w:rsidP="00A411F9">
            <w:pPr>
              <w:rPr>
                <w:color w:val="FF0000"/>
              </w:rPr>
            </w:pPr>
          </w:p>
        </w:tc>
      </w:tr>
      <w:tr w:rsidR="00ED7139" w14:paraId="2960F546" w14:textId="77777777" w:rsidTr="00A411F9">
        <w:tc>
          <w:tcPr>
            <w:tcW w:w="2444" w:type="dxa"/>
            <w:tcBorders>
              <w:bottom w:val="single" w:sz="4" w:space="0" w:color="auto"/>
            </w:tcBorders>
          </w:tcPr>
          <w:p w14:paraId="6B5A5D8F" w14:textId="77777777" w:rsidR="00ED7139" w:rsidRDefault="00ED7139" w:rsidP="00A411F9">
            <w:r>
              <w:t>All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C42CD1" w14:textId="77777777" w:rsidR="00ED7139" w:rsidRPr="008C0868" w:rsidRDefault="00ED7139" w:rsidP="00A411F9">
            <w:pPr>
              <w:rPr>
                <w:color w:val="FF0000"/>
              </w:rPr>
            </w:pPr>
            <w:r>
              <w:rPr>
                <w:color w:val="FF0000"/>
              </w:rPr>
              <w:t>Time limitations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74F7F6C2" w14:textId="77777777" w:rsidR="00ED7139" w:rsidRDefault="00ED7139" w:rsidP="00A411F9"/>
        </w:tc>
        <w:tc>
          <w:tcPr>
            <w:tcW w:w="1958" w:type="dxa"/>
            <w:tcBorders>
              <w:bottom w:val="single" w:sz="4" w:space="0" w:color="auto"/>
            </w:tcBorders>
          </w:tcPr>
          <w:p w14:paraId="67C27074" w14:textId="77777777" w:rsidR="00ED7139" w:rsidRPr="00F75C5C" w:rsidRDefault="00ED7139" w:rsidP="00A411F9">
            <w:pPr>
              <w:rPr>
                <w:color w:val="FF0000"/>
              </w:rPr>
            </w:pPr>
            <w:r>
              <w:rPr>
                <w:color w:val="FF0000"/>
              </w:rPr>
              <w:t>Time limitations</w:t>
            </w:r>
          </w:p>
        </w:tc>
      </w:tr>
    </w:tbl>
    <w:p w14:paraId="42866E64" w14:textId="77777777" w:rsidR="00ED7139" w:rsidRDefault="00ED7139" w:rsidP="00ED7139"/>
    <w:p w14:paraId="3A45C8A5" w14:textId="77777777" w:rsidR="00ED7139" w:rsidRDefault="00ED7139" w:rsidP="00ED7139">
      <w:pPr>
        <w:rPr>
          <w:i/>
          <w:iCs/>
        </w:rPr>
      </w:pPr>
      <w:r>
        <w:rPr>
          <w:b/>
          <w:bCs/>
        </w:rPr>
        <w:t xml:space="preserve">[3] </w:t>
      </w:r>
      <w:r w:rsidRPr="00B22463">
        <w:rPr>
          <w:b/>
          <w:bCs/>
        </w:rPr>
        <w:t>Short, medium and long term goals</w:t>
      </w:r>
      <w:r>
        <w:t xml:space="preserve"> </w:t>
      </w:r>
      <w:r w:rsidRPr="00B22463">
        <w:rPr>
          <w:i/>
          <w:iCs/>
        </w:rPr>
        <w:t>Can we identify logical steps to make progress?</w:t>
      </w:r>
    </w:p>
    <w:p w14:paraId="0733DD9B" w14:textId="406B84F3" w:rsidR="00347856" w:rsidRDefault="00347856" w:rsidP="00ED7139">
      <w:r>
        <w:t xml:space="preserve">The development and adoption of the guidelines requires </w:t>
      </w:r>
      <w:r w:rsidR="00270DD7">
        <w:t>ongoing engagement with the broader water quality community to ensure the vision of the guidelines is achieved.</w:t>
      </w:r>
      <w:r w:rsidR="007A412D">
        <w:t xml:space="preserve">  Ongoing outreach is essential to ensure the guidelines are informed by the community, and inform the practice of the community to support their uptake and practical adoption.</w:t>
      </w:r>
      <w:r w:rsidR="00701A05">
        <w:t xml:space="preserve">  Outreach should focus on</w:t>
      </w:r>
      <w:r w:rsidR="00B001D8">
        <w:t xml:space="preserve"> modellers, peak bodies, model consumers/decision makers, everyone else.</w:t>
      </w:r>
    </w:p>
    <w:p w14:paraId="3BE8A77B" w14:textId="52DD3BD0" w:rsidR="00B001D8" w:rsidRPr="00347856" w:rsidRDefault="00B001D8" w:rsidP="00ED7139">
      <w:r>
        <w:t>Peer and end user review is essential at all stages to ensure that fit-for-purpose guidelines are developed.</w:t>
      </w:r>
    </w:p>
    <w:p w14:paraId="222F4560" w14:textId="77777777" w:rsidR="00ED7139" w:rsidRPr="004052A3" w:rsidRDefault="00ED7139" w:rsidP="00ED7139">
      <w:pPr>
        <w:rPr>
          <w:u w:val="single"/>
        </w:rPr>
      </w:pPr>
      <w:r w:rsidRPr="004052A3">
        <w:rPr>
          <w:u w:val="single"/>
        </w:rPr>
        <w:t>SHORT</w:t>
      </w:r>
      <w:r>
        <w:rPr>
          <w:u w:val="single"/>
        </w:rPr>
        <w:t xml:space="preserve"> (1-3 years)</w:t>
      </w:r>
    </w:p>
    <w:p w14:paraId="0A8528C7" w14:textId="017AF9D9" w:rsidR="00ED7139" w:rsidRDefault="00ED7139" w:rsidP="00ED7139">
      <w:r>
        <w:t>1. Review / survey of end user needs (1 year goal)</w:t>
      </w:r>
    </w:p>
    <w:p w14:paraId="4CCF3251" w14:textId="160DB0EE" w:rsidR="00701A05" w:rsidRDefault="00701A05" w:rsidP="005848C5">
      <w:pPr>
        <w:pStyle w:val="ListParagraph"/>
        <w:numPr>
          <w:ilvl w:val="0"/>
          <w:numId w:val="12"/>
        </w:numPr>
      </w:pPr>
      <w:r>
        <w:t>Who are the end users – what does this landscape look like?</w:t>
      </w:r>
    </w:p>
    <w:p w14:paraId="317A16E9" w14:textId="1B920B7B" w:rsidR="00ED7139" w:rsidRDefault="00ED7139" w:rsidP="005848C5">
      <w:pPr>
        <w:pStyle w:val="ListParagraph"/>
        <w:numPr>
          <w:ilvl w:val="0"/>
          <w:numId w:val="12"/>
        </w:numPr>
      </w:pPr>
      <w:r>
        <w:t>Do our end users/decision makers see value in the guidelines</w:t>
      </w:r>
      <w:r w:rsidR="005848C5">
        <w:t>?</w:t>
      </w:r>
      <w:r>
        <w:t xml:space="preserve"> </w:t>
      </w:r>
    </w:p>
    <w:p w14:paraId="33CDC076" w14:textId="6A93ECF8" w:rsidR="00ED7139" w:rsidRDefault="005848C5" w:rsidP="005848C5">
      <w:pPr>
        <w:pStyle w:val="ListParagraph"/>
        <w:numPr>
          <w:ilvl w:val="0"/>
          <w:numId w:val="12"/>
        </w:numPr>
      </w:pPr>
      <w:r>
        <w:t>D</w:t>
      </w:r>
      <w:r w:rsidR="00ED7139">
        <w:t>o they see other purposes (we haven’t seen) for the guidelines?</w:t>
      </w:r>
    </w:p>
    <w:p w14:paraId="775D4435" w14:textId="39CAECBA" w:rsidR="00ED7139" w:rsidRDefault="00ED7139" w:rsidP="00ED7139">
      <w:r>
        <w:t>(does this shift what we</w:t>
      </w:r>
      <w:r w:rsidR="005848C5">
        <w:t xml:space="preserve"> are</w:t>
      </w:r>
      <w:r>
        <w:t xml:space="preserve"> looking to achieve with the guidelines?)</w:t>
      </w:r>
    </w:p>
    <w:p w14:paraId="500EA12F" w14:textId="77777777" w:rsidR="00ED7139" w:rsidRDefault="00ED7139" w:rsidP="00ED7139">
      <w:r>
        <w:t>2. Review of the current landscape of guidelines and their applicability to WQ modelling (1 year goal)</w:t>
      </w:r>
    </w:p>
    <w:p w14:paraId="2F1942F8" w14:textId="0E50A50A" w:rsidR="00ED7139" w:rsidRDefault="00ED7139" w:rsidP="00ED7139">
      <w:r>
        <w:t>3. Gap analysis against what we want the guidelines to achieve (Conduct workshop at M</w:t>
      </w:r>
      <w:r w:rsidR="00B57877">
        <w:t>OD</w:t>
      </w:r>
      <w:r>
        <w:t>S</w:t>
      </w:r>
      <w:r w:rsidR="00B57877">
        <w:t>IM</w:t>
      </w:r>
      <w:r>
        <w:t>2025)</w:t>
      </w:r>
    </w:p>
    <w:p w14:paraId="772B0353" w14:textId="2842C5E0" w:rsidR="00ED7139" w:rsidRDefault="00ED7139" w:rsidP="00ED7139">
      <w:r>
        <w:t xml:space="preserve">4a. Develop the guidelines (progress report 2025, present draft at </w:t>
      </w:r>
      <w:r w:rsidR="000F0684">
        <w:t>MODSIM</w:t>
      </w:r>
      <w:r>
        <w:t>2027)</w:t>
      </w:r>
    </w:p>
    <w:p w14:paraId="482E28A7" w14:textId="77777777" w:rsidR="00ED7139" w:rsidRDefault="00ED7139" w:rsidP="00ED7139">
      <w:r>
        <w:t xml:space="preserve">4b. Decide on form the guidelines should take: </w:t>
      </w:r>
    </w:p>
    <w:p w14:paraId="2DDA77DE" w14:textId="75693AC1" w:rsidR="00ED7139" w:rsidRDefault="00ED7139" w:rsidP="0076597F">
      <w:pPr>
        <w:pStyle w:val="ListParagraph"/>
        <w:numPr>
          <w:ilvl w:val="0"/>
          <w:numId w:val="14"/>
        </w:numPr>
      </w:pPr>
      <w:r>
        <w:t xml:space="preserve">outputs range </w:t>
      </w:r>
      <w:r w:rsidR="00C156F8">
        <w:t xml:space="preserve">from </w:t>
      </w:r>
      <w:r>
        <w:t>formal to informal (journal, traditional print, video, checklists, mix)</w:t>
      </w:r>
    </w:p>
    <w:p w14:paraId="31355A63" w14:textId="7678F651" w:rsidR="00ED7139" w:rsidRDefault="00ED7139" w:rsidP="0076597F">
      <w:pPr>
        <w:pStyle w:val="ListParagraph"/>
        <w:numPr>
          <w:ilvl w:val="0"/>
          <w:numId w:val="14"/>
        </w:numPr>
      </w:pPr>
      <w:r>
        <w:t>online portal to host information together</w:t>
      </w:r>
    </w:p>
    <w:p w14:paraId="66D96087" w14:textId="6AD6BF8C" w:rsidR="00ED7139" w:rsidRDefault="00ED7139" w:rsidP="0076597F">
      <w:pPr>
        <w:pStyle w:val="ListParagraph"/>
        <w:numPr>
          <w:ilvl w:val="0"/>
          <w:numId w:val="14"/>
        </w:numPr>
      </w:pPr>
      <w:r>
        <w:t>might want to codify in detail but summarise in different ways</w:t>
      </w:r>
    </w:p>
    <w:p w14:paraId="3C590FB5" w14:textId="588763AC" w:rsidR="00ED7139" w:rsidRDefault="00ED7139" w:rsidP="00ED7139">
      <w:r>
        <w:t>5. Develop tools to support application of guidelines (workshop dev/review tools or applying a</w:t>
      </w:r>
      <w:r w:rsidR="00E56BB5">
        <w:t>nd</w:t>
      </w:r>
      <w:r>
        <w:t xml:space="preserve"> using the guidelines @ MODSIM2027)</w:t>
      </w:r>
    </w:p>
    <w:p w14:paraId="0316D22F" w14:textId="0C1591CB" w:rsidR="00ED7139" w:rsidRDefault="00ED7139" w:rsidP="00ED7139">
      <w:pPr>
        <w:pStyle w:val="ListParagraph"/>
        <w:numPr>
          <w:ilvl w:val="0"/>
          <w:numId w:val="16"/>
        </w:numPr>
      </w:pPr>
      <w:r>
        <w:t>E.g. checklists</w:t>
      </w:r>
      <w:r w:rsidR="00B001D8">
        <w:t>, case studies</w:t>
      </w:r>
    </w:p>
    <w:p w14:paraId="1D8A093A" w14:textId="77777777" w:rsidR="00ED7139" w:rsidRPr="004052A3" w:rsidRDefault="00ED7139" w:rsidP="00ED7139">
      <w:pPr>
        <w:rPr>
          <w:u w:val="single"/>
        </w:rPr>
      </w:pPr>
      <w:r w:rsidRPr="004052A3">
        <w:rPr>
          <w:u w:val="single"/>
        </w:rPr>
        <w:t>MEDIUM</w:t>
      </w:r>
      <w:r>
        <w:rPr>
          <w:u w:val="single"/>
        </w:rPr>
        <w:t xml:space="preserve"> (4 – 10 years)</w:t>
      </w:r>
    </w:p>
    <w:p w14:paraId="72322C99" w14:textId="6189A976" w:rsidR="00ED7139" w:rsidRDefault="00B001D8" w:rsidP="00ED7139">
      <w:r>
        <w:t xml:space="preserve">Communication and </w:t>
      </w:r>
      <w:r w:rsidR="00C50762">
        <w:t>review of the guidelines and related tools.</w:t>
      </w:r>
    </w:p>
    <w:p w14:paraId="09E5D87B" w14:textId="77777777" w:rsidR="00ED7139" w:rsidRPr="004052A3" w:rsidRDefault="00ED7139" w:rsidP="00ED7139">
      <w:pPr>
        <w:rPr>
          <w:u w:val="single"/>
        </w:rPr>
      </w:pPr>
      <w:r w:rsidRPr="004052A3">
        <w:rPr>
          <w:u w:val="single"/>
        </w:rPr>
        <w:lastRenderedPageBreak/>
        <w:t>LONG</w:t>
      </w:r>
      <w:r>
        <w:rPr>
          <w:u w:val="single"/>
        </w:rPr>
        <w:t xml:space="preserve"> = Visionary Goal (10 + years)</w:t>
      </w:r>
    </w:p>
    <w:p w14:paraId="51AE9391" w14:textId="77777777" w:rsidR="00ED7139" w:rsidRDefault="00ED7139" w:rsidP="00C50762">
      <w:pPr>
        <w:pStyle w:val="ListParagraph"/>
        <w:numPr>
          <w:ilvl w:val="0"/>
          <w:numId w:val="19"/>
        </w:numPr>
      </w:pPr>
      <w:r>
        <w:t xml:space="preserve">Industry standard similar to ARR / a chapter in ARR or equivalent </w:t>
      </w:r>
    </w:p>
    <w:p w14:paraId="315FF3F3" w14:textId="77777777" w:rsidR="00ED7139" w:rsidRDefault="00ED7139" w:rsidP="00C50762">
      <w:pPr>
        <w:pStyle w:val="ListParagraph"/>
        <w:numPr>
          <w:ilvl w:val="0"/>
          <w:numId w:val="19"/>
        </w:numPr>
      </w:pPr>
      <w:r>
        <w:t>Embedded in expectations for publication / becomes standard operating practice</w:t>
      </w:r>
    </w:p>
    <w:p w14:paraId="491E75B0" w14:textId="77777777" w:rsidR="00ED7139" w:rsidRDefault="00ED7139" w:rsidP="00ED7139"/>
    <w:p w14:paraId="3095B48F" w14:textId="77777777" w:rsidR="00ED7139" w:rsidRDefault="00ED7139" w:rsidP="00ED7139">
      <w:r>
        <w:rPr>
          <w:b/>
          <w:bCs/>
        </w:rPr>
        <w:t xml:space="preserve">[4] </w:t>
      </w:r>
      <w:r w:rsidRPr="00F716C0">
        <w:rPr>
          <w:b/>
          <w:bCs/>
        </w:rPr>
        <w:t>Prioritisation of goals</w:t>
      </w:r>
      <w:r>
        <w:t xml:space="preserve"> </w:t>
      </w:r>
      <w:r w:rsidRPr="002C0142">
        <w:rPr>
          <w:i/>
          <w:iCs/>
        </w:rPr>
        <w:t>Do we need to prioritise goals?</w:t>
      </w:r>
    </w:p>
    <w:p w14:paraId="7A3CA0B2" w14:textId="77777777" w:rsidR="00ED7139" w:rsidRDefault="00ED7139" w:rsidP="00ED7139">
      <w:r>
        <w:t>See previous point [3]. Prioritisation based on estimated deadline for each goal, and practical ordering of the goals.</w:t>
      </w:r>
    </w:p>
    <w:p w14:paraId="02EDC933" w14:textId="77777777" w:rsidR="00ED7139" w:rsidRDefault="00ED7139" w:rsidP="00ED7139"/>
    <w:p w14:paraId="774C58A7" w14:textId="77777777" w:rsidR="00ED7139" w:rsidRPr="00A64E45" w:rsidRDefault="00ED7139" w:rsidP="00ED7139">
      <w:pPr>
        <w:rPr>
          <w:b/>
          <w:bCs/>
        </w:rPr>
      </w:pPr>
      <w:r>
        <w:rPr>
          <w:b/>
          <w:bCs/>
        </w:rPr>
        <w:t xml:space="preserve">[5] </w:t>
      </w:r>
      <w:r w:rsidRPr="00A64E45">
        <w:rPr>
          <w:b/>
          <w:bCs/>
        </w:rPr>
        <w:t xml:space="preserve">Identify key actions to achieve </w:t>
      </w:r>
      <w:r>
        <w:rPr>
          <w:b/>
          <w:bCs/>
        </w:rPr>
        <w:t xml:space="preserve">the priority </w:t>
      </w:r>
      <w:r w:rsidRPr="00A64E45">
        <w:rPr>
          <w:b/>
          <w:bCs/>
        </w:rPr>
        <w:t xml:space="preserve">goals  </w:t>
      </w:r>
    </w:p>
    <w:p w14:paraId="46F2088A" w14:textId="77777777" w:rsidR="00ED7139" w:rsidRDefault="00ED7139" w:rsidP="00ED7139">
      <w:r>
        <w:t>See previous point [3]. Actions are listed for each goal.</w:t>
      </w:r>
    </w:p>
    <w:p w14:paraId="4E3E68EE" w14:textId="77777777" w:rsidR="00ED7139" w:rsidRDefault="00ED7139" w:rsidP="00ED7139"/>
    <w:p w14:paraId="4B4C4149" w14:textId="77777777" w:rsidR="00ED7139" w:rsidRPr="00AA6444" w:rsidRDefault="00ED7139" w:rsidP="00ED7139">
      <w:pPr>
        <w:rPr>
          <w:i/>
          <w:iCs/>
        </w:rPr>
      </w:pPr>
      <w:r>
        <w:rPr>
          <w:b/>
          <w:bCs/>
        </w:rPr>
        <w:t xml:space="preserve">[6] </w:t>
      </w:r>
      <w:r w:rsidRPr="00F716C0">
        <w:rPr>
          <w:b/>
          <w:bCs/>
        </w:rPr>
        <w:t>Prioritisation of actions</w:t>
      </w:r>
      <w:r>
        <w:t xml:space="preserve"> </w:t>
      </w:r>
      <w:r>
        <w:rPr>
          <w:i/>
          <w:iCs/>
        </w:rPr>
        <w:t>Can we prioritise actions?</w:t>
      </w:r>
    </w:p>
    <w:p w14:paraId="47716AA8" w14:textId="77777777" w:rsidR="00ED7139" w:rsidRDefault="00ED7139" w:rsidP="00ED7139">
      <w:r>
        <w:t>See previous point [3]. Actions based on estimated deadline for each action, and practical ordering of the actions.</w:t>
      </w:r>
    </w:p>
    <w:p w14:paraId="65158067" w14:textId="77777777" w:rsidR="00ED7139" w:rsidRDefault="00ED7139" w:rsidP="00ED7139"/>
    <w:p w14:paraId="04EBD34D" w14:textId="77777777" w:rsidR="00ED7139" w:rsidRDefault="00ED7139" w:rsidP="00ED7139">
      <w:pPr>
        <w:rPr>
          <w:i/>
          <w:iCs/>
        </w:rPr>
      </w:pPr>
      <w:r>
        <w:rPr>
          <w:b/>
          <w:bCs/>
        </w:rPr>
        <w:t xml:space="preserve">[7] </w:t>
      </w:r>
      <w:r w:rsidRPr="7E157E1A">
        <w:rPr>
          <w:b/>
          <w:bCs/>
        </w:rPr>
        <w:t>Implementation plan</w:t>
      </w:r>
      <w:r>
        <w:t xml:space="preserve"> </w:t>
      </w:r>
      <w:r w:rsidRPr="7E157E1A">
        <w:rPr>
          <w:i/>
          <w:iCs/>
        </w:rPr>
        <w:t>Responsibilities, funding, timeline, how organising (what, who, when)</w:t>
      </w:r>
    </w:p>
    <w:p w14:paraId="6615E951" w14:textId="1ACB7290" w:rsidR="00ED7139" w:rsidRDefault="00ED7139" w:rsidP="00ED7139">
      <w:r>
        <w:t>Do Steps 1 and 2 (from [3]) in parallel (review/survey of user needs + review of guidelines literature)</w:t>
      </w:r>
      <w:r w:rsidR="0062502C">
        <w:t>:</w:t>
      </w:r>
    </w:p>
    <w:p w14:paraId="71A4B90A" w14:textId="77777777" w:rsidR="00ED7139" w:rsidRDefault="00ED7139" w:rsidP="00ED7139">
      <w:pPr>
        <w:pStyle w:val="ListParagraph"/>
        <w:numPr>
          <w:ilvl w:val="0"/>
          <w:numId w:val="6"/>
        </w:numPr>
      </w:pPr>
      <w:r>
        <w:t>User or stakeholder map. (Who might be the users we would survey?)</w:t>
      </w:r>
    </w:p>
    <w:p w14:paraId="575BB50F" w14:textId="77777777" w:rsidR="00ED7139" w:rsidRDefault="00ED7139" w:rsidP="00ED7139">
      <w:pPr>
        <w:pStyle w:val="ListParagraph"/>
        <w:numPr>
          <w:ilvl w:val="0"/>
          <w:numId w:val="6"/>
        </w:numPr>
      </w:pPr>
      <w:r>
        <w:t>Virtual sticky post-it session. (Capturing the users’ viewpoints.)</w:t>
      </w:r>
    </w:p>
    <w:p w14:paraId="743DE706" w14:textId="360E5A8A" w:rsidR="00ED7139" w:rsidRDefault="00ED7139" w:rsidP="00ED7139">
      <w:pPr>
        <w:pStyle w:val="ListParagraph"/>
        <w:numPr>
          <w:ilvl w:val="0"/>
          <w:numId w:val="6"/>
        </w:numPr>
      </w:pPr>
      <w:r>
        <w:t>A form questionnaire. Including in that questionnaire, asking around for what guidelines papers/grey literature that they use/recommend. (To add to the “stocktake” of modelling guidelines.)</w:t>
      </w:r>
      <w:r w:rsidR="00A62EC6">
        <w:t>.</w:t>
      </w:r>
    </w:p>
    <w:p w14:paraId="215A2909" w14:textId="6FC56220" w:rsidR="00A62EC6" w:rsidRDefault="00A62EC6" w:rsidP="00A62EC6">
      <w:pPr>
        <w:pStyle w:val="ListParagraph"/>
        <w:numPr>
          <w:ilvl w:val="1"/>
          <w:numId w:val="6"/>
        </w:numPr>
      </w:pPr>
      <w:r>
        <w:t xml:space="preserve">Follow up with targeted </w:t>
      </w:r>
      <w:r w:rsidR="00EE6918">
        <w:t>conversations</w:t>
      </w:r>
      <w:r>
        <w:t xml:space="preserve"> with representatives of different sectors to support a deeper dive, and nuanced understanding of existing resources and limitations</w:t>
      </w:r>
      <w:r w:rsidR="00EE6918">
        <w:t>.</w:t>
      </w:r>
    </w:p>
    <w:p w14:paraId="05D4C493" w14:textId="016CDCFF" w:rsidR="00ED7139" w:rsidRDefault="001B2A0E" w:rsidP="00ED7139">
      <w:pPr>
        <w:pStyle w:val="ListParagraph"/>
        <w:numPr>
          <w:ilvl w:val="0"/>
          <w:numId w:val="6"/>
        </w:numPr>
      </w:pPr>
      <w:r>
        <w:t xml:space="preserve">Establish a working party </w:t>
      </w:r>
      <w:r w:rsidR="00ED7139">
        <w:t>to compile all the information (literature / survey results). This will naturally lead to the gap analysis (Step 3 in [3])</w:t>
      </w:r>
      <w:r>
        <w:t>, which will likely involve expanding the working party</w:t>
      </w:r>
      <w:r w:rsidR="00ED7139">
        <w:t>.</w:t>
      </w:r>
    </w:p>
    <w:p w14:paraId="4E85E463" w14:textId="77777777" w:rsidR="00ED7139" w:rsidRDefault="00ED7139" w:rsidP="00ED7139">
      <w:pPr>
        <w:pStyle w:val="ListParagraph"/>
        <w:numPr>
          <w:ilvl w:val="0"/>
          <w:numId w:val="6"/>
        </w:numPr>
      </w:pPr>
      <w:r>
        <w:t>Stress-test the draft gap analysis at MODSIM 2025 (e.g. in a workshop).</w:t>
      </w:r>
    </w:p>
    <w:p w14:paraId="01979185" w14:textId="3E31AE6D" w:rsidR="00ED7139" w:rsidRDefault="00ED7139" w:rsidP="00ED7139"/>
    <w:p w14:paraId="2EB64FD8" w14:textId="77777777" w:rsidR="00ED7139" w:rsidRDefault="00ED7139" w:rsidP="00ED7139">
      <w:pPr>
        <w:pStyle w:val="ListParagraph"/>
        <w:numPr>
          <w:ilvl w:val="0"/>
          <w:numId w:val="7"/>
        </w:numPr>
      </w:pPr>
      <w:r w:rsidRPr="00372DF6">
        <w:rPr>
          <w:b/>
          <w:bCs/>
          <w:u w:val="single"/>
        </w:rPr>
        <w:t>Important:</w:t>
      </w:r>
      <w:r>
        <w:t xml:space="preserve"> This is primarily advice for modellers but will be useful for other actors connected to the modelling process (e.g. end users, procurers, etc.).</w:t>
      </w:r>
    </w:p>
    <w:p w14:paraId="2321D19C" w14:textId="77777777" w:rsidR="00ED7139" w:rsidRDefault="00ED7139" w:rsidP="00ED7139">
      <w:pPr>
        <w:pStyle w:val="ListParagraph"/>
        <w:numPr>
          <w:ilvl w:val="0"/>
          <w:numId w:val="7"/>
        </w:numPr>
      </w:pPr>
      <w:r w:rsidRPr="003D0FBC">
        <w:t>E.g. there</w:t>
      </w:r>
      <w:r>
        <w:t xml:space="preserve"> are heaps of guidelines that have come out in the last 3 years in NZ for environmental modelling, but they are not written by modellers.</w:t>
      </w:r>
    </w:p>
    <w:p w14:paraId="06D856C3" w14:textId="6ACFCC3E" w:rsidR="0062502C" w:rsidRDefault="0062502C" w:rsidP="00976342">
      <w:r>
        <w:t>Form an oversight group:</w:t>
      </w:r>
      <w:r w:rsidR="00EE6918">
        <w:t xml:space="preserve"> an oversight group is important to ensure the guidelines developed are appropriate to the broad community of modellers (development, application, research, </w:t>
      </w:r>
      <w:r w:rsidR="002204A6">
        <w:t xml:space="preserve">consulting, compliance etc.) and valuable to consumers/decisions makers, </w:t>
      </w:r>
      <w:r w:rsidR="00585380">
        <w:t xml:space="preserve">team leads/managers, project managers, procurement etc.  The oversight group will be formed (and periodically reviewed to </w:t>
      </w:r>
      <w:r w:rsidR="00585380">
        <w:lastRenderedPageBreak/>
        <w:t xml:space="preserve">ensure </w:t>
      </w:r>
      <w:r w:rsidR="00FA2E1A">
        <w:t>meets current needs of the project) following the collation and initial review of existing resources.</w:t>
      </w:r>
      <w:r w:rsidR="00EE6918">
        <w:t xml:space="preserve"> </w:t>
      </w:r>
    </w:p>
    <w:p w14:paraId="04327243" w14:textId="3C34F76C" w:rsidR="005C23FF" w:rsidRDefault="005C23FF" w:rsidP="00976342">
      <w:r w:rsidRPr="00D67849">
        <w:rPr>
          <w:b/>
          <w:bCs/>
          <w:i/>
          <w:iCs/>
        </w:rPr>
        <w:t>Funding</w:t>
      </w:r>
      <w:r>
        <w:t xml:space="preserve"> </w:t>
      </w:r>
      <w:r w:rsidR="001C4C39">
        <w:t xml:space="preserve">While many activities will occur based on community volunteering their time/resources, some aspects (e.g. development of tools to support the guidelines) will require financial support.  Funding opportunities need to be identified to enable these activities in a timely manner.  </w:t>
      </w:r>
      <w:r w:rsidR="00454ECC">
        <w:t xml:space="preserve">A list of potential funding opportunities will be developed, once the form of resources </w:t>
      </w:r>
      <w:r w:rsidR="00D67849">
        <w:t>to be created has been identified.</w:t>
      </w:r>
    </w:p>
    <w:p w14:paraId="2B3BE46B" w14:textId="3526247F" w:rsidR="001B2A0E" w:rsidRPr="00B7389E" w:rsidRDefault="001B2A0E" w:rsidP="00976342">
      <w:r w:rsidRPr="00154BCF">
        <w:rPr>
          <w:b/>
          <w:bCs/>
          <w:i/>
          <w:iCs/>
        </w:rPr>
        <w:t>Who</w:t>
      </w:r>
      <w:r w:rsidR="00B7389E">
        <w:rPr>
          <w:i/>
          <w:iCs/>
        </w:rPr>
        <w:t xml:space="preserve"> </w:t>
      </w:r>
      <w:r w:rsidR="00EB1DA4">
        <w:t xml:space="preserve">Melanie Roberts, Val Snow, Matthew Adams, Vaughn Grey, Richard </w:t>
      </w:r>
      <w:proofErr w:type="spellStart"/>
      <w:r w:rsidR="00EB1DA4">
        <w:t>Muirhead</w:t>
      </w:r>
      <w:proofErr w:type="spellEnd"/>
      <w:r w:rsidR="00EB1DA4">
        <w:t xml:space="preserve"> and Michael Barry </w:t>
      </w:r>
      <w:r w:rsidR="004933E3">
        <w:t>(especially the gap analysis component) volunteered to lead the initial stages of the project</w:t>
      </w:r>
      <w:r w:rsidR="00154BCF">
        <w:t xml:space="preserve"> during the workshop</w:t>
      </w:r>
      <w:r w:rsidR="004933E3">
        <w:t xml:space="preserve">.  Additional </w:t>
      </w:r>
      <w:r w:rsidR="00154BCF">
        <w:t>participants welcome from the broader community.</w:t>
      </w:r>
    </w:p>
    <w:p w14:paraId="1963B8D9" w14:textId="3402DB20" w:rsidR="00087233" w:rsidRPr="00087233" w:rsidRDefault="00087233" w:rsidP="00087233">
      <w:pPr>
        <w:rPr>
          <w:b/>
          <w:bCs/>
          <w:i/>
          <w:iCs/>
        </w:rPr>
      </w:pPr>
      <w:r w:rsidRPr="00087233">
        <w:rPr>
          <w:b/>
          <w:bCs/>
          <w:i/>
          <w:iCs/>
        </w:rPr>
        <w:t>Risks</w:t>
      </w:r>
    </w:p>
    <w:p w14:paraId="21B71674" w14:textId="77777777" w:rsidR="00087233" w:rsidRDefault="00087233" w:rsidP="00087233">
      <w:pPr>
        <w:pStyle w:val="ListParagraph"/>
        <w:numPr>
          <w:ilvl w:val="0"/>
          <w:numId w:val="9"/>
        </w:numPr>
      </w:pPr>
      <w:r>
        <w:t>Guidelines not hitting the mark, so it sits on the shelf.</w:t>
      </w:r>
    </w:p>
    <w:p w14:paraId="07E52DC5" w14:textId="5A10F229" w:rsidR="00087233" w:rsidRDefault="00087233" w:rsidP="00087233">
      <w:pPr>
        <w:pStyle w:val="ListParagraph"/>
        <w:numPr>
          <w:ilvl w:val="0"/>
          <w:numId w:val="9"/>
        </w:numPr>
      </w:pPr>
      <w:r>
        <w:t>Ensuring input from different sectors, e.g. consultant input, which requires different incentives to an academic.</w:t>
      </w:r>
    </w:p>
    <w:p w14:paraId="7E1998EF" w14:textId="77777777" w:rsidR="00087233" w:rsidRDefault="00087233" w:rsidP="00087233">
      <w:pPr>
        <w:pStyle w:val="ListParagraph"/>
        <w:numPr>
          <w:ilvl w:val="0"/>
          <w:numId w:val="9"/>
        </w:numPr>
      </w:pPr>
      <w:r>
        <w:t>Ensuring messaging (during outreach) is very clear. [What makes good modelling? What makes bad modelling? Why do the latter continue to occur?]</w:t>
      </w:r>
    </w:p>
    <w:p w14:paraId="370CF5C5" w14:textId="77777777" w:rsidR="00087233" w:rsidRDefault="00087233" w:rsidP="00087233">
      <w:pPr>
        <w:pStyle w:val="ListParagraph"/>
        <w:numPr>
          <w:ilvl w:val="0"/>
          <w:numId w:val="9"/>
        </w:numPr>
      </w:pPr>
      <w:r>
        <w:t>Won’t be able to make sense of the plethora of guidelines that already exist.</w:t>
      </w:r>
    </w:p>
    <w:p w14:paraId="04AE793E" w14:textId="21B19822" w:rsidR="00ED7139" w:rsidRPr="00154BCF" w:rsidRDefault="00087233" w:rsidP="00DB5379">
      <w:pPr>
        <w:pStyle w:val="ListParagraph"/>
        <w:numPr>
          <w:ilvl w:val="0"/>
          <w:numId w:val="9"/>
        </w:numPr>
      </w:pPr>
      <w:r>
        <w:t>The perfect guidance document already exists!</w:t>
      </w:r>
    </w:p>
    <w:p w14:paraId="426D278A" w14:textId="3829714F" w:rsidR="006220EB" w:rsidRPr="00A752F3" w:rsidRDefault="00A752F3" w:rsidP="00A752F3">
      <w:r w:rsidRPr="00A752F3">
        <w:rPr>
          <w:b/>
          <w:bCs/>
          <w:i/>
          <w:iCs/>
        </w:rPr>
        <w:t xml:space="preserve">Note: </w:t>
      </w:r>
      <w:r>
        <w:t xml:space="preserve">Discussions at the workshop were wide-ranging, and </w:t>
      </w:r>
      <w:r w:rsidR="00361D3A">
        <w:t xml:space="preserve">extended to specific ideas for the form of the guidelines as a product, identification of existing resources, </w:t>
      </w:r>
      <w:r w:rsidR="00BF2A34">
        <w:t xml:space="preserve">key topics to consider, and ideas for the substance of the guidelines.  Notes of these discussions were recorded to support the development of the guidelines. </w:t>
      </w:r>
    </w:p>
    <w:p w14:paraId="786F55EC" w14:textId="70A7F5F4" w:rsidR="00BB3521" w:rsidRPr="00BB3521" w:rsidRDefault="00BB3521" w:rsidP="006220EB">
      <w:pPr>
        <w:rPr>
          <w:sz w:val="24"/>
          <w:szCs w:val="24"/>
        </w:rPr>
      </w:pPr>
    </w:p>
    <w:sectPr w:rsidR="00BB3521" w:rsidRPr="00BB3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E2FA" w14:textId="77777777" w:rsidR="001A6318" w:rsidRDefault="001A6318" w:rsidP="00A43306">
      <w:pPr>
        <w:spacing w:after="0" w:line="240" w:lineRule="auto"/>
      </w:pPr>
      <w:r>
        <w:separator/>
      </w:r>
    </w:p>
  </w:endnote>
  <w:endnote w:type="continuationSeparator" w:id="0">
    <w:p w14:paraId="66883B4C" w14:textId="77777777" w:rsidR="001A6318" w:rsidRDefault="001A6318" w:rsidP="00A4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A25B" w14:textId="77777777" w:rsidR="001A6318" w:rsidRDefault="001A6318" w:rsidP="00A43306">
      <w:pPr>
        <w:spacing w:after="0" w:line="240" w:lineRule="auto"/>
      </w:pPr>
      <w:r>
        <w:separator/>
      </w:r>
    </w:p>
  </w:footnote>
  <w:footnote w:type="continuationSeparator" w:id="0">
    <w:p w14:paraId="582C99E8" w14:textId="77777777" w:rsidR="001A6318" w:rsidRDefault="001A6318" w:rsidP="00A43306">
      <w:pPr>
        <w:spacing w:after="0" w:line="240" w:lineRule="auto"/>
      </w:pPr>
      <w:r>
        <w:continuationSeparator/>
      </w:r>
    </w:p>
  </w:footnote>
  <w:footnote w:id="1">
    <w:p w14:paraId="67A849EF" w14:textId="75817D7D" w:rsidR="00A43306" w:rsidRPr="00A43306" w:rsidRDefault="00A43306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This document is a summary of discussions at the workshop </w:t>
      </w:r>
      <w:r w:rsidR="00DF7E59">
        <w:rPr>
          <w:lang w:val="en-AU"/>
        </w:rPr>
        <w:t xml:space="preserve">with notes prepared by Matthew Adams, Vaughn </w:t>
      </w:r>
      <w:proofErr w:type="gramStart"/>
      <w:r w:rsidR="00DF7E59">
        <w:rPr>
          <w:lang w:val="en-AU"/>
        </w:rPr>
        <w:t>Grey</w:t>
      </w:r>
      <w:proofErr w:type="gramEnd"/>
      <w:r w:rsidR="00DF7E59">
        <w:rPr>
          <w:lang w:val="en-AU"/>
        </w:rPr>
        <w:t xml:space="preserve"> and Melanie Roberts.  Workshop participants </w:t>
      </w:r>
      <w:r w:rsidR="0039008F">
        <w:rPr>
          <w:lang w:val="en-AU"/>
        </w:rPr>
        <w:t>were</w:t>
      </w:r>
      <w:r w:rsidR="0039008F" w:rsidRPr="0039008F">
        <w:rPr>
          <w:lang w:val="en-AU"/>
        </w:rPr>
        <w:t xml:space="preserve"> Matthew Adams,</w:t>
      </w:r>
      <w:r w:rsidR="00706F44">
        <w:rPr>
          <w:lang w:val="en-AU"/>
        </w:rPr>
        <w:t xml:space="preserve"> </w:t>
      </w:r>
      <w:r w:rsidR="00655075">
        <w:rPr>
          <w:lang w:val="en-AU"/>
        </w:rPr>
        <w:t>Ma</w:t>
      </w:r>
      <w:r w:rsidR="006926B6">
        <w:rPr>
          <w:lang w:val="en-AU"/>
        </w:rPr>
        <w:t>ggie</w:t>
      </w:r>
      <w:r w:rsidR="00655075">
        <w:rPr>
          <w:lang w:val="en-AU"/>
        </w:rPr>
        <w:t xml:space="preserve"> Armstrong, </w:t>
      </w:r>
      <w:proofErr w:type="spellStart"/>
      <w:r w:rsidR="00706F44" w:rsidRPr="0039008F">
        <w:rPr>
          <w:lang w:val="en-AU"/>
        </w:rPr>
        <w:t>Chinenye</w:t>
      </w:r>
      <w:proofErr w:type="spellEnd"/>
      <w:r w:rsidR="00706F44" w:rsidRPr="0039008F">
        <w:rPr>
          <w:lang w:val="en-AU"/>
        </w:rPr>
        <w:t xml:space="preserve"> Ani</w:t>
      </w:r>
      <w:r w:rsidR="00706F44">
        <w:rPr>
          <w:lang w:val="en-AU"/>
        </w:rPr>
        <w:t>,</w:t>
      </w:r>
      <w:r w:rsidR="0039008F" w:rsidRPr="0039008F">
        <w:rPr>
          <w:lang w:val="en-AU"/>
        </w:rPr>
        <w:t xml:space="preserve"> Michael Barry, Hugo Borges, Vaughn Grey, </w:t>
      </w:r>
      <w:proofErr w:type="spellStart"/>
      <w:r w:rsidR="0039008F" w:rsidRPr="0039008F">
        <w:rPr>
          <w:lang w:val="en-AU"/>
        </w:rPr>
        <w:t>Tapuwa</w:t>
      </w:r>
      <w:proofErr w:type="spellEnd"/>
      <w:r w:rsidR="0039008F" w:rsidRPr="0039008F">
        <w:rPr>
          <w:lang w:val="en-AU"/>
        </w:rPr>
        <w:t xml:space="preserve"> </w:t>
      </w:r>
      <w:proofErr w:type="spellStart"/>
      <w:r w:rsidR="0039008F" w:rsidRPr="0039008F">
        <w:rPr>
          <w:lang w:val="en-AU"/>
        </w:rPr>
        <w:t>Marapara</w:t>
      </w:r>
      <w:proofErr w:type="spellEnd"/>
      <w:r w:rsidR="0039008F" w:rsidRPr="0039008F">
        <w:rPr>
          <w:lang w:val="en-AU"/>
        </w:rPr>
        <w:t xml:space="preserve">, Richard </w:t>
      </w:r>
      <w:proofErr w:type="spellStart"/>
      <w:r w:rsidR="0039008F" w:rsidRPr="0039008F">
        <w:rPr>
          <w:lang w:val="en-AU"/>
        </w:rPr>
        <w:t>Muirhead</w:t>
      </w:r>
      <w:proofErr w:type="spellEnd"/>
      <w:r w:rsidR="0039008F" w:rsidRPr="0039008F">
        <w:rPr>
          <w:lang w:val="en-AU"/>
        </w:rPr>
        <w:t>, Melanie Roberts,</w:t>
      </w:r>
      <w:r w:rsidR="00C74491">
        <w:rPr>
          <w:lang w:val="en-AU"/>
        </w:rPr>
        <w:t xml:space="preserve"> Theo Sarris,</w:t>
      </w:r>
      <w:r w:rsidR="0039008F" w:rsidRPr="0039008F">
        <w:rPr>
          <w:lang w:val="en-AU"/>
        </w:rPr>
        <w:t xml:space="preserve"> Val Snow,</w:t>
      </w:r>
      <w:r w:rsidR="00941F02">
        <w:rPr>
          <w:lang w:val="en-AU"/>
        </w:rPr>
        <w:t xml:space="preserve"> </w:t>
      </w:r>
      <w:r w:rsidR="00941F02" w:rsidRPr="0039008F">
        <w:rPr>
          <w:lang w:val="en-AU"/>
        </w:rPr>
        <w:t>Tom Stephens</w:t>
      </w:r>
      <w:r w:rsidR="00941F02">
        <w:rPr>
          <w:lang w:val="en-AU"/>
        </w:rPr>
        <w:t>,</w:t>
      </w:r>
      <w:r w:rsidR="0039008F" w:rsidRPr="0039008F">
        <w:rPr>
          <w:lang w:val="en-AU"/>
        </w:rPr>
        <w:t xml:space="preserve"> Ken Taylor, Ben Tuckey, Andrew Western, </w:t>
      </w:r>
      <w:r w:rsidR="00233E81" w:rsidRPr="0039008F">
        <w:rPr>
          <w:lang w:val="en-AU"/>
        </w:rPr>
        <w:t xml:space="preserve">Joerg Wicker, </w:t>
      </w:r>
      <w:r w:rsidR="00941F02">
        <w:rPr>
          <w:lang w:val="en-AU"/>
        </w:rPr>
        <w:t xml:space="preserve">and </w:t>
      </w:r>
      <w:r w:rsidR="0039008F" w:rsidRPr="0039008F">
        <w:rPr>
          <w:lang w:val="en-AU"/>
        </w:rPr>
        <w:t>Karen Wild-Allen</w:t>
      </w:r>
      <w:r w:rsidR="00941F02">
        <w:rPr>
          <w:lang w:val="en-A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D2C"/>
    <w:multiLevelType w:val="hybridMultilevel"/>
    <w:tmpl w:val="1DA83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2230"/>
    <w:multiLevelType w:val="hybridMultilevel"/>
    <w:tmpl w:val="6DD8757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52DC"/>
    <w:multiLevelType w:val="hybridMultilevel"/>
    <w:tmpl w:val="01602EC2"/>
    <w:lvl w:ilvl="0" w:tplc="76D8971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47B16"/>
    <w:multiLevelType w:val="hybridMultilevel"/>
    <w:tmpl w:val="DB4807DA"/>
    <w:lvl w:ilvl="0" w:tplc="D7D20CEA">
      <w:start w:val="1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2D21"/>
    <w:multiLevelType w:val="hybridMultilevel"/>
    <w:tmpl w:val="DCF2E2DA"/>
    <w:lvl w:ilvl="0" w:tplc="D8A0FC7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57E6B"/>
    <w:multiLevelType w:val="hybridMultilevel"/>
    <w:tmpl w:val="69D45636"/>
    <w:lvl w:ilvl="0" w:tplc="29A046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21E02"/>
    <w:multiLevelType w:val="hybridMultilevel"/>
    <w:tmpl w:val="ECF2B91C"/>
    <w:lvl w:ilvl="0" w:tplc="A38E09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3848"/>
    <w:multiLevelType w:val="hybridMultilevel"/>
    <w:tmpl w:val="0A7EE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37EAD"/>
    <w:multiLevelType w:val="hybridMultilevel"/>
    <w:tmpl w:val="5DCCF5C8"/>
    <w:lvl w:ilvl="0" w:tplc="239218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81554"/>
    <w:multiLevelType w:val="hybridMultilevel"/>
    <w:tmpl w:val="80F00366"/>
    <w:lvl w:ilvl="0" w:tplc="29A046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52477"/>
    <w:multiLevelType w:val="hybridMultilevel"/>
    <w:tmpl w:val="4564760C"/>
    <w:lvl w:ilvl="0" w:tplc="D7D20CEA">
      <w:start w:val="1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911CD"/>
    <w:multiLevelType w:val="hybridMultilevel"/>
    <w:tmpl w:val="2B28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537F5"/>
    <w:multiLevelType w:val="hybridMultilevel"/>
    <w:tmpl w:val="CBA8904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F372D"/>
    <w:multiLevelType w:val="hybridMultilevel"/>
    <w:tmpl w:val="F87E82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E6D5B"/>
    <w:multiLevelType w:val="hybridMultilevel"/>
    <w:tmpl w:val="7B307020"/>
    <w:lvl w:ilvl="0" w:tplc="619030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563E0"/>
    <w:multiLevelType w:val="hybridMultilevel"/>
    <w:tmpl w:val="3C7E029A"/>
    <w:lvl w:ilvl="0" w:tplc="D7D20CEA">
      <w:start w:val="1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342E3"/>
    <w:multiLevelType w:val="hybridMultilevel"/>
    <w:tmpl w:val="9836E7AE"/>
    <w:lvl w:ilvl="0" w:tplc="D7D20CEA">
      <w:start w:val="1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F6462"/>
    <w:multiLevelType w:val="hybridMultilevel"/>
    <w:tmpl w:val="A7D28E1A"/>
    <w:lvl w:ilvl="0" w:tplc="D7D20CEA">
      <w:start w:val="1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11DBC"/>
    <w:multiLevelType w:val="hybridMultilevel"/>
    <w:tmpl w:val="F8545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122394">
    <w:abstractNumId w:val="0"/>
  </w:num>
  <w:num w:numId="2" w16cid:durableId="1514488998">
    <w:abstractNumId w:val="6"/>
  </w:num>
  <w:num w:numId="3" w16cid:durableId="1106120086">
    <w:abstractNumId w:val="4"/>
  </w:num>
  <w:num w:numId="4" w16cid:durableId="2071419528">
    <w:abstractNumId w:val="12"/>
  </w:num>
  <w:num w:numId="5" w16cid:durableId="1740012272">
    <w:abstractNumId w:val="8"/>
  </w:num>
  <w:num w:numId="6" w16cid:durableId="1457020311">
    <w:abstractNumId w:val="1"/>
  </w:num>
  <w:num w:numId="7" w16cid:durableId="1323663024">
    <w:abstractNumId w:val="3"/>
  </w:num>
  <w:num w:numId="8" w16cid:durableId="1440681649">
    <w:abstractNumId w:val="15"/>
  </w:num>
  <w:num w:numId="9" w16cid:durableId="967318297">
    <w:abstractNumId w:val="13"/>
  </w:num>
  <w:num w:numId="10" w16cid:durableId="1087726721">
    <w:abstractNumId w:val="18"/>
  </w:num>
  <w:num w:numId="11" w16cid:durableId="1243182149">
    <w:abstractNumId w:val="11"/>
  </w:num>
  <w:num w:numId="12" w16cid:durableId="265382221">
    <w:abstractNumId w:val="17"/>
  </w:num>
  <w:num w:numId="13" w16cid:durableId="175850972">
    <w:abstractNumId w:val="2"/>
  </w:num>
  <w:num w:numId="14" w16cid:durableId="1381637204">
    <w:abstractNumId w:val="16"/>
  </w:num>
  <w:num w:numId="15" w16cid:durableId="1091976053">
    <w:abstractNumId w:val="14"/>
  </w:num>
  <w:num w:numId="16" w16cid:durableId="919408325">
    <w:abstractNumId w:val="10"/>
  </w:num>
  <w:num w:numId="17" w16cid:durableId="412967776">
    <w:abstractNumId w:val="9"/>
  </w:num>
  <w:num w:numId="18" w16cid:durableId="2000962375">
    <w:abstractNumId w:val="5"/>
  </w:num>
  <w:num w:numId="19" w16cid:durableId="1930967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BE"/>
    <w:rsid w:val="00014F05"/>
    <w:rsid w:val="00017BC7"/>
    <w:rsid w:val="00020997"/>
    <w:rsid w:val="00072E8E"/>
    <w:rsid w:val="0008353B"/>
    <w:rsid w:val="00087233"/>
    <w:rsid w:val="00090644"/>
    <w:rsid w:val="000C2D01"/>
    <w:rsid w:val="000C458F"/>
    <w:rsid w:val="000D6BA4"/>
    <w:rsid w:val="000E57BE"/>
    <w:rsid w:val="000F0684"/>
    <w:rsid w:val="000F18CB"/>
    <w:rsid w:val="000F349A"/>
    <w:rsid w:val="00114BBE"/>
    <w:rsid w:val="00130E51"/>
    <w:rsid w:val="001456D1"/>
    <w:rsid w:val="0015105C"/>
    <w:rsid w:val="0015385A"/>
    <w:rsid w:val="00154BCF"/>
    <w:rsid w:val="0017276C"/>
    <w:rsid w:val="00180C1D"/>
    <w:rsid w:val="00180C67"/>
    <w:rsid w:val="001A6318"/>
    <w:rsid w:val="001A6AA7"/>
    <w:rsid w:val="001B2A0E"/>
    <w:rsid w:val="001C4C39"/>
    <w:rsid w:val="001D0EF3"/>
    <w:rsid w:val="001F3816"/>
    <w:rsid w:val="001F53F1"/>
    <w:rsid w:val="00207CE6"/>
    <w:rsid w:val="002204A6"/>
    <w:rsid w:val="00230110"/>
    <w:rsid w:val="00231B96"/>
    <w:rsid w:val="002322CD"/>
    <w:rsid w:val="00233E81"/>
    <w:rsid w:val="002349DC"/>
    <w:rsid w:val="00242C4F"/>
    <w:rsid w:val="00252B29"/>
    <w:rsid w:val="002658E0"/>
    <w:rsid w:val="00265B78"/>
    <w:rsid w:val="00270DD7"/>
    <w:rsid w:val="0028781C"/>
    <w:rsid w:val="002A24F6"/>
    <w:rsid w:val="002A3C6A"/>
    <w:rsid w:val="002A58AD"/>
    <w:rsid w:val="002A644F"/>
    <w:rsid w:val="002C0142"/>
    <w:rsid w:val="002E1073"/>
    <w:rsid w:val="002E1587"/>
    <w:rsid w:val="002E4804"/>
    <w:rsid w:val="002E5B3D"/>
    <w:rsid w:val="00317E16"/>
    <w:rsid w:val="0033042E"/>
    <w:rsid w:val="00335514"/>
    <w:rsid w:val="00340210"/>
    <w:rsid w:val="00347856"/>
    <w:rsid w:val="00361D3A"/>
    <w:rsid w:val="00370EE0"/>
    <w:rsid w:val="00372DF6"/>
    <w:rsid w:val="0038334A"/>
    <w:rsid w:val="00387277"/>
    <w:rsid w:val="0039008F"/>
    <w:rsid w:val="00394C2C"/>
    <w:rsid w:val="00397B77"/>
    <w:rsid w:val="003A54E6"/>
    <w:rsid w:val="003B0887"/>
    <w:rsid w:val="003B0C42"/>
    <w:rsid w:val="003B6B5A"/>
    <w:rsid w:val="003D0FBC"/>
    <w:rsid w:val="003F1527"/>
    <w:rsid w:val="0040435E"/>
    <w:rsid w:val="004052A3"/>
    <w:rsid w:val="0041664E"/>
    <w:rsid w:val="0041754F"/>
    <w:rsid w:val="004207CA"/>
    <w:rsid w:val="00426E78"/>
    <w:rsid w:val="00430112"/>
    <w:rsid w:val="00430788"/>
    <w:rsid w:val="0044399F"/>
    <w:rsid w:val="00452ECA"/>
    <w:rsid w:val="00454ECC"/>
    <w:rsid w:val="00481C91"/>
    <w:rsid w:val="004933E3"/>
    <w:rsid w:val="004955FF"/>
    <w:rsid w:val="004A747C"/>
    <w:rsid w:val="004B3701"/>
    <w:rsid w:val="004E6678"/>
    <w:rsid w:val="004F1E35"/>
    <w:rsid w:val="00505538"/>
    <w:rsid w:val="00524191"/>
    <w:rsid w:val="005310D5"/>
    <w:rsid w:val="0055183B"/>
    <w:rsid w:val="005628AB"/>
    <w:rsid w:val="005718E7"/>
    <w:rsid w:val="005848C5"/>
    <w:rsid w:val="00585380"/>
    <w:rsid w:val="00585B7B"/>
    <w:rsid w:val="00591EF1"/>
    <w:rsid w:val="00596A89"/>
    <w:rsid w:val="005A23BB"/>
    <w:rsid w:val="005A6D31"/>
    <w:rsid w:val="005B723E"/>
    <w:rsid w:val="005C23FF"/>
    <w:rsid w:val="005C2781"/>
    <w:rsid w:val="005C74E3"/>
    <w:rsid w:val="005C74F4"/>
    <w:rsid w:val="005D0037"/>
    <w:rsid w:val="005E420C"/>
    <w:rsid w:val="005F091F"/>
    <w:rsid w:val="006010EE"/>
    <w:rsid w:val="006220EB"/>
    <w:rsid w:val="0062502C"/>
    <w:rsid w:val="00632C39"/>
    <w:rsid w:val="00643D7C"/>
    <w:rsid w:val="0065058C"/>
    <w:rsid w:val="00655075"/>
    <w:rsid w:val="006562E7"/>
    <w:rsid w:val="006926B6"/>
    <w:rsid w:val="00694EC7"/>
    <w:rsid w:val="006A3A06"/>
    <w:rsid w:val="006A5E91"/>
    <w:rsid w:val="006B0A78"/>
    <w:rsid w:val="006B1191"/>
    <w:rsid w:val="006C4D13"/>
    <w:rsid w:val="006D157D"/>
    <w:rsid w:val="006F2537"/>
    <w:rsid w:val="00701A05"/>
    <w:rsid w:val="00703E50"/>
    <w:rsid w:val="0070434C"/>
    <w:rsid w:val="00706F44"/>
    <w:rsid w:val="00745EF9"/>
    <w:rsid w:val="007577DC"/>
    <w:rsid w:val="00760492"/>
    <w:rsid w:val="0076597F"/>
    <w:rsid w:val="007854AA"/>
    <w:rsid w:val="007952FA"/>
    <w:rsid w:val="007A00F5"/>
    <w:rsid w:val="007A412D"/>
    <w:rsid w:val="007D4CCC"/>
    <w:rsid w:val="007E43BA"/>
    <w:rsid w:val="007F4616"/>
    <w:rsid w:val="007F6F4C"/>
    <w:rsid w:val="008074B4"/>
    <w:rsid w:val="00812E53"/>
    <w:rsid w:val="00827717"/>
    <w:rsid w:val="00851B63"/>
    <w:rsid w:val="0088576E"/>
    <w:rsid w:val="00890F47"/>
    <w:rsid w:val="008A765F"/>
    <w:rsid w:val="008C0868"/>
    <w:rsid w:val="008D4D47"/>
    <w:rsid w:val="008D60B7"/>
    <w:rsid w:val="008F4D6F"/>
    <w:rsid w:val="00904B47"/>
    <w:rsid w:val="009128D8"/>
    <w:rsid w:val="00913371"/>
    <w:rsid w:val="009145E8"/>
    <w:rsid w:val="009156F1"/>
    <w:rsid w:val="009203F4"/>
    <w:rsid w:val="00921323"/>
    <w:rsid w:val="00941F02"/>
    <w:rsid w:val="009560C8"/>
    <w:rsid w:val="00976342"/>
    <w:rsid w:val="009779B2"/>
    <w:rsid w:val="00980B52"/>
    <w:rsid w:val="00993928"/>
    <w:rsid w:val="009A1B7C"/>
    <w:rsid w:val="009A6101"/>
    <w:rsid w:val="009B0D6A"/>
    <w:rsid w:val="009D1DAF"/>
    <w:rsid w:val="009E1553"/>
    <w:rsid w:val="009F3B73"/>
    <w:rsid w:val="009F46A5"/>
    <w:rsid w:val="00A31BCB"/>
    <w:rsid w:val="00A31FBA"/>
    <w:rsid w:val="00A376B6"/>
    <w:rsid w:val="00A43306"/>
    <w:rsid w:val="00A44AF7"/>
    <w:rsid w:val="00A5576F"/>
    <w:rsid w:val="00A57A09"/>
    <w:rsid w:val="00A60C99"/>
    <w:rsid w:val="00A62EC6"/>
    <w:rsid w:val="00A64779"/>
    <w:rsid w:val="00A64E45"/>
    <w:rsid w:val="00A752F3"/>
    <w:rsid w:val="00AA4020"/>
    <w:rsid w:val="00AA6444"/>
    <w:rsid w:val="00AC79B1"/>
    <w:rsid w:val="00AF05CB"/>
    <w:rsid w:val="00B001D8"/>
    <w:rsid w:val="00B22463"/>
    <w:rsid w:val="00B57877"/>
    <w:rsid w:val="00B7302A"/>
    <w:rsid w:val="00B7389E"/>
    <w:rsid w:val="00B82C05"/>
    <w:rsid w:val="00B92D0E"/>
    <w:rsid w:val="00BB3521"/>
    <w:rsid w:val="00BB4542"/>
    <w:rsid w:val="00BC5BBB"/>
    <w:rsid w:val="00BC5BD3"/>
    <w:rsid w:val="00BD23D9"/>
    <w:rsid w:val="00BD31EF"/>
    <w:rsid w:val="00BE73B3"/>
    <w:rsid w:val="00BF0047"/>
    <w:rsid w:val="00BF126B"/>
    <w:rsid w:val="00BF1915"/>
    <w:rsid w:val="00BF2A34"/>
    <w:rsid w:val="00BF7735"/>
    <w:rsid w:val="00C07F55"/>
    <w:rsid w:val="00C105A2"/>
    <w:rsid w:val="00C156F8"/>
    <w:rsid w:val="00C15B65"/>
    <w:rsid w:val="00C1697B"/>
    <w:rsid w:val="00C40783"/>
    <w:rsid w:val="00C408F4"/>
    <w:rsid w:val="00C416C3"/>
    <w:rsid w:val="00C47E4E"/>
    <w:rsid w:val="00C50762"/>
    <w:rsid w:val="00C517FB"/>
    <w:rsid w:val="00C519E5"/>
    <w:rsid w:val="00C54791"/>
    <w:rsid w:val="00C60D9D"/>
    <w:rsid w:val="00C627D1"/>
    <w:rsid w:val="00C6722A"/>
    <w:rsid w:val="00C74491"/>
    <w:rsid w:val="00C87360"/>
    <w:rsid w:val="00C9394C"/>
    <w:rsid w:val="00C96B8D"/>
    <w:rsid w:val="00CD1EF7"/>
    <w:rsid w:val="00CD301D"/>
    <w:rsid w:val="00CE3D2D"/>
    <w:rsid w:val="00D01192"/>
    <w:rsid w:val="00D040B5"/>
    <w:rsid w:val="00D1743E"/>
    <w:rsid w:val="00D21BA5"/>
    <w:rsid w:val="00D46650"/>
    <w:rsid w:val="00D502A3"/>
    <w:rsid w:val="00D67849"/>
    <w:rsid w:val="00D71A48"/>
    <w:rsid w:val="00D85C6E"/>
    <w:rsid w:val="00D90427"/>
    <w:rsid w:val="00D94E32"/>
    <w:rsid w:val="00DA0613"/>
    <w:rsid w:val="00DB5379"/>
    <w:rsid w:val="00DD4F21"/>
    <w:rsid w:val="00DD5469"/>
    <w:rsid w:val="00DE1646"/>
    <w:rsid w:val="00DE26CB"/>
    <w:rsid w:val="00DE6A5A"/>
    <w:rsid w:val="00DF3791"/>
    <w:rsid w:val="00DF7E59"/>
    <w:rsid w:val="00E00EEA"/>
    <w:rsid w:val="00E022C8"/>
    <w:rsid w:val="00E158F0"/>
    <w:rsid w:val="00E37076"/>
    <w:rsid w:val="00E5611C"/>
    <w:rsid w:val="00E5687A"/>
    <w:rsid w:val="00E56BB5"/>
    <w:rsid w:val="00E659E7"/>
    <w:rsid w:val="00E7601D"/>
    <w:rsid w:val="00E92844"/>
    <w:rsid w:val="00EB1DA4"/>
    <w:rsid w:val="00EC7173"/>
    <w:rsid w:val="00ED5B5A"/>
    <w:rsid w:val="00ED7139"/>
    <w:rsid w:val="00EE6918"/>
    <w:rsid w:val="00F027A9"/>
    <w:rsid w:val="00F10CD7"/>
    <w:rsid w:val="00F1743D"/>
    <w:rsid w:val="00F2360D"/>
    <w:rsid w:val="00F26717"/>
    <w:rsid w:val="00F576D2"/>
    <w:rsid w:val="00F601D9"/>
    <w:rsid w:val="00F716C0"/>
    <w:rsid w:val="00F739A9"/>
    <w:rsid w:val="00F75C5C"/>
    <w:rsid w:val="00F803FF"/>
    <w:rsid w:val="00F9562E"/>
    <w:rsid w:val="00F97D1E"/>
    <w:rsid w:val="00FA2E1A"/>
    <w:rsid w:val="00FD1D1B"/>
    <w:rsid w:val="00FD2009"/>
    <w:rsid w:val="00FD4CD1"/>
    <w:rsid w:val="00FF2F4F"/>
    <w:rsid w:val="5BE90F8A"/>
    <w:rsid w:val="7E1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AC77"/>
  <w15:chartTrackingRefBased/>
  <w15:docId w15:val="{23DF7DBA-1A80-452C-ABC2-4A74B5AE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781"/>
    <w:pPr>
      <w:ind w:left="720"/>
      <w:contextualSpacing/>
    </w:pPr>
  </w:style>
  <w:style w:type="table" w:styleId="TableGrid">
    <w:name w:val="Table Grid"/>
    <w:basedOn w:val="TableNormal"/>
    <w:uiPriority w:val="39"/>
    <w:rsid w:val="0015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433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3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3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BFDF57-F11F-3445-8328-E8F0D426AB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Muirhead</dc:creator>
  <cp:keywords/>
  <dc:description/>
  <cp:lastModifiedBy>Melanie Roberts</cp:lastModifiedBy>
  <cp:revision>63</cp:revision>
  <dcterms:created xsi:type="dcterms:W3CDTF">2024-04-19T02:44:00Z</dcterms:created>
  <dcterms:modified xsi:type="dcterms:W3CDTF">2024-04-26T01:18:00Z</dcterms:modified>
</cp:coreProperties>
</file>